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E748B">
        <w:rPr>
          <w:noProof/>
          <w:sz w:val="20"/>
        </w:rPr>
        <w:t xml:space="preserve">f-chapter problems for Chapter </w:t>
      </w:r>
      <w:r w:rsidR="002750D6">
        <w:rPr>
          <w:noProof/>
          <w:sz w:val="20"/>
        </w:rPr>
        <w:t>30</w:t>
      </w:r>
      <w:r>
        <w:rPr>
          <w:noProof/>
          <w:sz w:val="20"/>
        </w:rPr>
        <w:t xml:space="preserve"> – </w:t>
      </w:r>
      <w:r w:rsidR="002750D6">
        <w:rPr>
          <w:noProof/>
          <w:sz w:val="20"/>
        </w:rPr>
        <w:t>Implementing Data Converters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692640" w:rsidRPr="00692640" w:rsidRDefault="00692640" w:rsidP="0028579D">
      <w:pPr>
        <w:pStyle w:val="BodyText"/>
        <w:ind w:left="720" w:hanging="720"/>
        <w:rPr>
          <w:noProof/>
          <w:sz w:val="20"/>
          <w:szCs w:val="20"/>
        </w:rPr>
      </w:pPr>
    </w:p>
    <w:p w:rsidR="004E72F3" w:rsidRDefault="002750D6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74643D">
        <w:rPr>
          <w:noProof/>
          <w:sz w:val="20"/>
          <w:szCs w:val="20"/>
        </w:rPr>
        <w:t xml:space="preserve">Verify, using simulations and a 3-bit data converter with </w:t>
      </w:r>
      <w:r w:rsidR="0074643D" w:rsidRPr="0074643D">
        <w:rPr>
          <w:i/>
          <w:noProof/>
          <w:sz w:val="20"/>
          <w:szCs w:val="20"/>
        </w:rPr>
        <w:t>V</w:t>
      </w:r>
      <w:r w:rsidR="0074643D" w:rsidRPr="0074643D">
        <w:rPr>
          <w:i/>
          <w:noProof/>
          <w:sz w:val="20"/>
          <w:szCs w:val="20"/>
          <w:vertAlign w:val="subscript"/>
        </w:rPr>
        <w:t>REF</w:t>
      </w:r>
      <w:r w:rsidR="0074643D" w:rsidRPr="0074643D">
        <w:rPr>
          <w:noProof/>
          <w:sz w:val="20"/>
          <w:szCs w:val="20"/>
          <w:vertAlign w:val="subscript"/>
        </w:rPr>
        <w:t>+</w:t>
      </w:r>
      <w:r w:rsidR="0074643D">
        <w:rPr>
          <w:noProof/>
          <w:sz w:val="20"/>
          <w:szCs w:val="20"/>
        </w:rPr>
        <w:t xml:space="preserve"> = 0</w:t>
      </w:r>
      <w:r w:rsidR="006A50FD">
        <w:rPr>
          <w:noProof/>
          <w:sz w:val="20"/>
          <w:szCs w:val="20"/>
        </w:rPr>
        <w:t xml:space="preserve"> and</w:t>
      </w:r>
      <w:r w:rsidR="0074643D">
        <w:rPr>
          <w:noProof/>
          <w:sz w:val="20"/>
          <w:szCs w:val="20"/>
        </w:rPr>
        <w:t xml:space="preserve"> </w:t>
      </w:r>
      <w:r w:rsidR="0074643D" w:rsidRPr="0074643D">
        <w:rPr>
          <w:i/>
          <w:noProof/>
          <w:sz w:val="20"/>
          <w:szCs w:val="20"/>
        </w:rPr>
        <w:t>V</w:t>
      </w:r>
      <w:r w:rsidR="0074643D" w:rsidRPr="0074643D">
        <w:rPr>
          <w:i/>
          <w:noProof/>
          <w:sz w:val="20"/>
          <w:szCs w:val="20"/>
          <w:vertAlign w:val="subscript"/>
        </w:rPr>
        <w:t>REF</w:t>
      </w:r>
      <w:r w:rsidR="0074643D" w:rsidRPr="0074643D">
        <w:rPr>
          <w:rFonts w:ascii="Symbol" w:hAnsi="Symbol"/>
          <w:noProof/>
          <w:sz w:val="20"/>
          <w:szCs w:val="20"/>
          <w:vertAlign w:val="subscript"/>
        </w:rPr>
        <w:t></w:t>
      </w:r>
      <w:r w:rsidR="0074643D">
        <w:rPr>
          <w:rFonts w:ascii="Symbol" w:hAnsi="Symbol"/>
          <w:noProof/>
          <w:sz w:val="20"/>
          <w:szCs w:val="20"/>
        </w:rPr>
        <w:t></w:t>
      </w:r>
      <w:r w:rsidR="0074643D">
        <w:rPr>
          <w:noProof/>
          <w:sz w:val="20"/>
          <w:szCs w:val="20"/>
        </w:rPr>
        <w:t>= 1V, that Eq. (30.4) is correct. What are the LSB of the converter and the converter’s output swing (</w:t>
      </w:r>
      <w:r w:rsidR="005E0E34">
        <w:rPr>
          <w:noProof/>
          <w:sz w:val="20"/>
          <w:szCs w:val="20"/>
        </w:rPr>
        <w:t>verify your simulations using</w:t>
      </w:r>
      <w:r w:rsidR="0074643D">
        <w:rPr>
          <w:noProof/>
          <w:sz w:val="20"/>
          <w:szCs w:val="20"/>
        </w:rPr>
        <w:t xml:space="preserve"> an ideal op-amp)?</w:t>
      </w:r>
    </w:p>
    <w:p w:rsidR="0074643D" w:rsidRDefault="0074643D" w:rsidP="002750D6">
      <w:pPr>
        <w:pStyle w:val="BodyText"/>
        <w:ind w:left="720" w:hanging="720"/>
        <w:rPr>
          <w:noProof/>
          <w:sz w:val="20"/>
          <w:szCs w:val="20"/>
        </w:rPr>
      </w:pPr>
      <w:r w:rsidRPr="0074643D">
        <w:rPr>
          <w:b/>
          <w:noProof/>
          <w:sz w:val="20"/>
          <w:szCs w:val="20"/>
        </w:rPr>
        <w:t>A30.2</w:t>
      </w:r>
      <w:r w:rsidRPr="0074643D">
        <w:rPr>
          <w:b/>
          <w:noProof/>
          <w:sz w:val="20"/>
          <w:szCs w:val="20"/>
        </w:rPr>
        <w:tab/>
      </w:r>
      <w:r w:rsidR="006A50FD">
        <w:rPr>
          <w:noProof/>
          <w:sz w:val="20"/>
          <w:szCs w:val="20"/>
        </w:rPr>
        <w:t xml:space="preserve">What is the output swing of the traditional voltage-mode R-2R DAC seen in Fig. 30.2 if </w:t>
      </w:r>
      <w:r w:rsidR="006A50FD" w:rsidRPr="0074643D">
        <w:rPr>
          <w:i/>
          <w:noProof/>
          <w:sz w:val="20"/>
          <w:szCs w:val="20"/>
        </w:rPr>
        <w:t>V</w:t>
      </w:r>
      <w:r w:rsidR="006A50FD" w:rsidRPr="0074643D">
        <w:rPr>
          <w:i/>
          <w:noProof/>
          <w:sz w:val="20"/>
          <w:szCs w:val="20"/>
          <w:vertAlign w:val="subscript"/>
        </w:rPr>
        <w:t>REF</w:t>
      </w:r>
      <w:r w:rsidR="006A50FD" w:rsidRPr="0074643D">
        <w:rPr>
          <w:noProof/>
          <w:sz w:val="20"/>
          <w:szCs w:val="20"/>
          <w:vertAlign w:val="subscript"/>
        </w:rPr>
        <w:t>+</w:t>
      </w:r>
      <w:r w:rsidR="006A50FD">
        <w:rPr>
          <w:noProof/>
          <w:sz w:val="20"/>
          <w:szCs w:val="20"/>
        </w:rPr>
        <w:t xml:space="preserve"> = 0 </w:t>
      </w:r>
      <w:r w:rsidR="006A50FD" w:rsidRPr="0074643D">
        <w:rPr>
          <w:i/>
          <w:noProof/>
          <w:sz w:val="20"/>
          <w:szCs w:val="20"/>
        </w:rPr>
        <w:t>V</w:t>
      </w:r>
      <w:r w:rsidR="006A50FD" w:rsidRPr="0074643D">
        <w:rPr>
          <w:i/>
          <w:noProof/>
          <w:sz w:val="20"/>
          <w:szCs w:val="20"/>
          <w:vertAlign w:val="subscript"/>
        </w:rPr>
        <w:t>REF</w:t>
      </w:r>
      <w:r w:rsidR="006A50FD" w:rsidRPr="0074643D">
        <w:rPr>
          <w:rFonts w:ascii="Symbol" w:hAnsi="Symbol"/>
          <w:noProof/>
          <w:sz w:val="20"/>
          <w:szCs w:val="20"/>
          <w:vertAlign w:val="subscript"/>
        </w:rPr>
        <w:t></w:t>
      </w:r>
      <w:r w:rsidR="006A50FD">
        <w:rPr>
          <w:rFonts w:ascii="Symbol" w:hAnsi="Symbol"/>
          <w:noProof/>
          <w:sz w:val="20"/>
          <w:szCs w:val="20"/>
        </w:rPr>
        <w:t></w:t>
      </w:r>
      <w:r w:rsidR="006A50FD">
        <w:rPr>
          <w:noProof/>
          <w:sz w:val="20"/>
          <w:szCs w:val="20"/>
        </w:rPr>
        <w:t xml:space="preserve">= 1 V? Does Eq. (30.7) describe the operation of the DAC when </w:t>
      </w:r>
      <w:r w:rsidR="006A50FD" w:rsidRPr="0074643D">
        <w:rPr>
          <w:i/>
          <w:noProof/>
          <w:sz w:val="20"/>
          <w:szCs w:val="20"/>
        </w:rPr>
        <w:t>V</w:t>
      </w:r>
      <w:r w:rsidR="006A50FD" w:rsidRPr="0074643D">
        <w:rPr>
          <w:i/>
          <w:noProof/>
          <w:sz w:val="20"/>
          <w:szCs w:val="20"/>
          <w:vertAlign w:val="subscript"/>
        </w:rPr>
        <w:t>REF</w:t>
      </w:r>
      <w:r w:rsidR="006A50FD" w:rsidRPr="0074643D">
        <w:rPr>
          <w:noProof/>
          <w:sz w:val="20"/>
          <w:szCs w:val="20"/>
          <w:vertAlign w:val="subscript"/>
        </w:rPr>
        <w:t>+</w:t>
      </w:r>
      <w:r w:rsidR="006A50FD">
        <w:rPr>
          <w:noProof/>
          <w:sz w:val="20"/>
          <w:szCs w:val="20"/>
        </w:rPr>
        <w:t xml:space="preserve"> &lt; </w:t>
      </w:r>
      <w:r w:rsidR="006A50FD" w:rsidRPr="0074643D">
        <w:rPr>
          <w:i/>
          <w:noProof/>
          <w:sz w:val="20"/>
          <w:szCs w:val="20"/>
        </w:rPr>
        <w:t>V</w:t>
      </w:r>
      <w:r w:rsidR="006A50FD" w:rsidRPr="0074643D">
        <w:rPr>
          <w:i/>
          <w:noProof/>
          <w:sz w:val="20"/>
          <w:szCs w:val="20"/>
          <w:vertAlign w:val="subscript"/>
        </w:rPr>
        <w:t>REF</w:t>
      </w:r>
      <w:r w:rsidR="006A50FD" w:rsidRPr="0074643D">
        <w:rPr>
          <w:rFonts w:ascii="Symbol" w:hAnsi="Symbol"/>
          <w:noProof/>
          <w:sz w:val="20"/>
          <w:szCs w:val="20"/>
          <w:vertAlign w:val="subscript"/>
        </w:rPr>
        <w:t></w:t>
      </w:r>
      <w:r w:rsidR="006A50FD">
        <w:rPr>
          <w:noProof/>
          <w:sz w:val="20"/>
          <w:szCs w:val="20"/>
        </w:rPr>
        <w:t xml:space="preserve">? Assume both reference voltages are positive. </w:t>
      </w:r>
    </w:p>
    <w:p w:rsidR="006A50FD" w:rsidRDefault="006A50FD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A30.3</w:t>
      </w:r>
      <w:r>
        <w:rPr>
          <w:b/>
          <w:noProof/>
          <w:sz w:val="20"/>
          <w:szCs w:val="20"/>
        </w:rPr>
        <w:tab/>
      </w:r>
      <w:r w:rsidR="005E0E34">
        <w:rPr>
          <w:noProof/>
          <w:sz w:val="20"/>
          <w:szCs w:val="20"/>
        </w:rPr>
        <w:t>Using simulations, and a 4-bit DAC, verify that Eqs. (30.14) and (30.17) accurately predit the DNL and INL error, given the assumed matching</w:t>
      </w:r>
      <w:r w:rsidR="00E45616">
        <w:rPr>
          <w:noProof/>
          <w:sz w:val="20"/>
          <w:szCs w:val="20"/>
        </w:rPr>
        <w:t xml:space="preserve"> of the resistors used to derive these equations</w:t>
      </w:r>
      <w:r w:rsidR="005E0E34">
        <w:rPr>
          <w:noProof/>
          <w:sz w:val="20"/>
          <w:szCs w:val="20"/>
        </w:rPr>
        <w:t>, of the DAC topology seen in Fig. 30.3.</w:t>
      </w:r>
    </w:p>
    <w:p w:rsidR="0025584F" w:rsidRDefault="0025584F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A30.4</w:t>
      </w:r>
      <w:r>
        <w:rPr>
          <w:b/>
          <w:noProof/>
          <w:sz w:val="20"/>
          <w:szCs w:val="20"/>
        </w:rPr>
        <w:tab/>
      </w:r>
      <w:r w:rsidR="00A10C56">
        <w:rPr>
          <w:noProof/>
          <w:sz w:val="20"/>
          <w:szCs w:val="20"/>
        </w:rPr>
        <w:t xml:space="preserve">Design, and simulate the operation of, an 8-bit DAC based upon the wide-swing current-mode </w:t>
      </w:r>
      <w:r w:rsidR="00A10C56" w:rsidRPr="00A94446">
        <w:rPr>
          <w:i/>
          <w:noProof/>
          <w:sz w:val="20"/>
          <w:szCs w:val="20"/>
        </w:rPr>
        <w:t>R</w:t>
      </w:r>
      <w:r w:rsidR="00A10C56">
        <w:rPr>
          <w:noProof/>
          <w:sz w:val="20"/>
          <w:szCs w:val="20"/>
        </w:rPr>
        <w:t>-2</w:t>
      </w:r>
      <w:r w:rsidR="00A10C56" w:rsidRPr="00A94446">
        <w:rPr>
          <w:i/>
          <w:noProof/>
          <w:sz w:val="20"/>
          <w:szCs w:val="20"/>
        </w:rPr>
        <w:t>R</w:t>
      </w:r>
      <w:r w:rsidR="00A10C56">
        <w:rPr>
          <w:noProof/>
          <w:sz w:val="20"/>
          <w:szCs w:val="20"/>
        </w:rPr>
        <w:t xml:space="preserve"> DAC seen in Fig. 30.3 where the upper two bits are split apart into 4-segments. Comment on the resistor matching requirements to achieve a DNL of less than 1 LSB.</w:t>
      </w:r>
    </w:p>
    <w:p w:rsidR="00A10C56" w:rsidRDefault="00A10C56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A30.5</w:t>
      </w:r>
      <w:r>
        <w:rPr>
          <w:b/>
          <w:noProof/>
          <w:sz w:val="20"/>
          <w:szCs w:val="20"/>
        </w:rPr>
        <w:tab/>
      </w:r>
      <w:r w:rsidR="007F2960">
        <w:rPr>
          <w:noProof/>
          <w:sz w:val="20"/>
          <w:szCs w:val="20"/>
        </w:rPr>
        <w:t>Rederive Eqs. (29.59)-(29.60) using the shunt-shunt amplifier topology discussed in Sec. 30.2.</w:t>
      </w:r>
    </w:p>
    <w:p w:rsidR="00CD336D" w:rsidRDefault="00CD336D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A30.6</w:t>
      </w:r>
      <w:r>
        <w:rPr>
          <w:b/>
          <w:noProof/>
          <w:sz w:val="20"/>
          <w:szCs w:val="20"/>
        </w:rPr>
        <w:tab/>
      </w:r>
      <w:r w:rsidR="009F2BB0">
        <w:rPr>
          <w:noProof/>
          <w:sz w:val="20"/>
          <w:szCs w:val="20"/>
        </w:rPr>
        <w:t>Show, using simulations, that Eq. (30.50) is still valid if the op-amp has a 50 mV offset voltage.</w:t>
      </w:r>
    </w:p>
    <w:p w:rsidR="009F2BB0" w:rsidRDefault="009F2BB0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A30.7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Derive an equation, similar to how Eq. (30.50) was derived, to describe the transfer function of the S/H seen in Fig. 30.31.</w:t>
      </w:r>
    </w:p>
    <w:p w:rsidR="009F2BB0" w:rsidRDefault="009F2BB0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A30.8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Derive an equation, similar to how Eq. (30.50) was derived, to describe the transfer function of the S/H seen in Fig. 30.34.</w:t>
      </w:r>
    </w:p>
    <w:p w:rsidR="009F2BB0" w:rsidRDefault="009F2BB0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A30.9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Repeat Ex. 30.10 if the ADC’s input is 720 mV.</w:t>
      </w:r>
    </w:p>
    <w:p w:rsidR="009F2BB0" w:rsidRDefault="009F2BB0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A30.10</w:t>
      </w:r>
      <w:r>
        <w:rPr>
          <w:b/>
          <w:noProof/>
          <w:sz w:val="20"/>
          <w:szCs w:val="20"/>
        </w:rPr>
        <w:tab/>
      </w:r>
      <w:r w:rsidR="00F0247B">
        <w:rPr>
          <w:noProof/>
          <w:sz w:val="20"/>
          <w:szCs w:val="20"/>
        </w:rPr>
        <w:t xml:space="preserve">Explain, in your own words, how the circuit in Fig. 30.42 operates. Use simulations to augment your explanation. </w:t>
      </w:r>
    </w:p>
    <w:p w:rsidR="00F0247B" w:rsidRDefault="00F0247B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A30.11</w:t>
      </w:r>
      <w:r>
        <w:rPr>
          <w:b/>
          <w:noProof/>
          <w:sz w:val="20"/>
          <w:szCs w:val="20"/>
        </w:rPr>
        <w:tab/>
      </w:r>
      <w:r w:rsidR="004E69CC">
        <w:rPr>
          <w:noProof/>
          <w:sz w:val="20"/>
          <w:szCs w:val="20"/>
        </w:rPr>
        <w:t xml:space="preserve">Sketch, similar to Fig. 30.53, the digital logic used to combine the outputs of each stage in a 4-bit pipeline ADC that uses 1.5 bits/stage. Assuming </w:t>
      </w:r>
      <w:r w:rsidR="004E69CC" w:rsidRPr="004E69CC">
        <w:rPr>
          <w:i/>
          <w:noProof/>
          <w:sz w:val="20"/>
          <w:szCs w:val="20"/>
        </w:rPr>
        <w:t>VDD</w:t>
      </w:r>
      <w:r w:rsidR="004E69CC">
        <w:rPr>
          <w:noProof/>
          <w:sz w:val="20"/>
          <w:szCs w:val="20"/>
        </w:rPr>
        <w:t xml:space="preserve"> = </w:t>
      </w:r>
      <w:r w:rsidR="004E69CC" w:rsidRPr="004E69CC">
        <w:rPr>
          <w:i/>
          <w:noProof/>
          <w:sz w:val="20"/>
          <w:szCs w:val="20"/>
        </w:rPr>
        <w:t>V</w:t>
      </w:r>
      <w:r w:rsidR="004E69CC" w:rsidRPr="004E69CC">
        <w:rPr>
          <w:i/>
          <w:noProof/>
          <w:sz w:val="20"/>
          <w:szCs w:val="20"/>
          <w:vertAlign w:val="subscript"/>
        </w:rPr>
        <w:t>REF</w:t>
      </w:r>
      <w:r w:rsidR="004E69CC" w:rsidRPr="004E69CC">
        <w:rPr>
          <w:noProof/>
          <w:sz w:val="20"/>
          <w:szCs w:val="20"/>
          <w:vertAlign w:val="subscript"/>
        </w:rPr>
        <w:t>+</w:t>
      </w:r>
      <w:r w:rsidR="004E69CC">
        <w:rPr>
          <w:noProof/>
          <w:sz w:val="20"/>
          <w:szCs w:val="20"/>
        </w:rPr>
        <w:t xml:space="preserve"> = 1 V and </w:t>
      </w:r>
      <w:r w:rsidR="004E69CC" w:rsidRPr="004E69CC">
        <w:rPr>
          <w:i/>
          <w:noProof/>
          <w:sz w:val="20"/>
          <w:szCs w:val="20"/>
        </w:rPr>
        <w:t>V</w:t>
      </w:r>
      <w:r w:rsidR="004E69CC" w:rsidRPr="004E69CC">
        <w:rPr>
          <w:i/>
          <w:noProof/>
          <w:sz w:val="20"/>
          <w:szCs w:val="20"/>
          <w:vertAlign w:val="subscript"/>
        </w:rPr>
        <w:t>REF</w:t>
      </w:r>
      <w:r w:rsidR="004E69CC" w:rsidRPr="004E69CC">
        <w:rPr>
          <w:rFonts w:ascii="Symbol" w:hAnsi="Symbol"/>
          <w:noProof/>
          <w:sz w:val="20"/>
          <w:szCs w:val="20"/>
          <w:vertAlign w:val="subscript"/>
        </w:rPr>
        <w:t></w:t>
      </w:r>
      <w:r w:rsidR="004E69CC">
        <w:rPr>
          <w:noProof/>
          <w:sz w:val="20"/>
          <w:szCs w:val="20"/>
        </w:rPr>
        <w:t xml:space="preserve"> = 0 </w:t>
      </w:r>
      <w:r w:rsidR="00FC372B">
        <w:rPr>
          <w:noProof/>
          <w:sz w:val="20"/>
          <w:szCs w:val="20"/>
        </w:rPr>
        <w:t>describe the outputs of each stage, and the digital logic used to combine these outputs, if the input to the ADC is 323 mV.</w:t>
      </w:r>
      <w:r w:rsidR="00A94446">
        <w:rPr>
          <w:noProof/>
          <w:sz w:val="20"/>
          <w:szCs w:val="20"/>
        </w:rPr>
        <w:t xml:space="preserve"> Ensure that you also show how the delay elements used on the outputs of each pipeline stage are connected to the logic.</w:t>
      </w:r>
    </w:p>
    <w:p w:rsidR="00FC372B" w:rsidRDefault="00FC372B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A30.12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Repeat Ex. 30.17 but with an input voltage of 323 mV.</w:t>
      </w:r>
    </w:p>
    <w:p w:rsidR="00FC372B" w:rsidRPr="007B6A7D" w:rsidRDefault="00FC372B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A30.13</w:t>
      </w:r>
      <w:r>
        <w:rPr>
          <w:b/>
          <w:noProof/>
          <w:sz w:val="20"/>
          <w:szCs w:val="20"/>
        </w:rPr>
        <w:tab/>
      </w:r>
      <w:r w:rsidR="007B6A7D">
        <w:rPr>
          <w:noProof/>
          <w:sz w:val="20"/>
          <w:szCs w:val="20"/>
        </w:rPr>
        <w:t xml:space="preserve">Repeat the derivations seen in the section covering </w:t>
      </w:r>
      <w:r w:rsidR="007B6A7D" w:rsidRPr="00A94446">
        <w:rPr>
          <w:i/>
          <w:noProof/>
          <w:sz w:val="20"/>
          <w:szCs w:val="20"/>
        </w:rPr>
        <w:t>Capacitor Error Averaging</w:t>
      </w:r>
      <w:r w:rsidR="007B6A7D">
        <w:rPr>
          <w:noProof/>
          <w:sz w:val="20"/>
          <w:szCs w:val="20"/>
        </w:rPr>
        <w:t xml:space="preserve"> assuming all capacitors are perfectly matched but the op-amps have finite gain, </w:t>
      </w:r>
      <w:r w:rsidR="007B6A7D">
        <w:rPr>
          <w:i/>
          <w:noProof/>
          <w:sz w:val="20"/>
          <w:szCs w:val="20"/>
        </w:rPr>
        <w:t>A</w:t>
      </w:r>
      <w:r w:rsidR="007B6A7D">
        <w:rPr>
          <w:i/>
          <w:noProof/>
          <w:sz w:val="20"/>
          <w:szCs w:val="20"/>
          <w:vertAlign w:val="subscript"/>
        </w:rPr>
        <w:t>OL</w:t>
      </w:r>
      <w:r w:rsidR="007B6A7D">
        <w:rPr>
          <w:noProof/>
          <w:sz w:val="20"/>
          <w:szCs w:val="20"/>
        </w:rPr>
        <w:t xml:space="preserve">. Verify your </w:t>
      </w:r>
      <w:r w:rsidR="00FF2F16">
        <w:rPr>
          <w:noProof/>
          <w:sz w:val="20"/>
          <w:szCs w:val="20"/>
        </w:rPr>
        <w:t xml:space="preserve">derivation </w:t>
      </w:r>
      <w:r w:rsidR="007B6A7D">
        <w:rPr>
          <w:noProof/>
          <w:sz w:val="20"/>
          <w:szCs w:val="20"/>
        </w:rPr>
        <w:t xml:space="preserve">results using simulations with </w:t>
      </w:r>
      <w:r w:rsidR="007B6A7D" w:rsidRPr="007B6A7D">
        <w:rPr>
          <w:i/>
          <w:noProof/>
          <w:sz w:val="20"/>
          <w:szCs w:val="20"/>
        </w:rPr>
        <w:t>A</w:t>
      </w:r>
      <w:r w:rsidR="007B6A7D" w:rsidRPr="007B6A7D">
        <w:rPr>
          <w:i/>
          <w:noProof/>
          <w:sz w:val="20"/>
          <w:szCs w:val="20"/>
          <w:vertAlign w:val="subscript"/>
        </w:rPr>
        <w:t>OL</w:t>
      </w:r>
      <w:r w:rsidR="007B6A7D">
        <w:rPr>
          <w:noProof/>
          <w:sz w:val="20"/>
          <w:szCs w:val="20"/>
        </w:rPr>
        <w:t xml:space="preserve"> = 100. </w:t>
      </w:r>
    </w:p>
    <w:p w:rsidR="009F2BB0" w:rsidRPr="009F2BB0" w:rsidRDefault="009F2BB0" w:rsidP="002750D6">
      <w:pPr>
        <w:pStyle w:val="BodyText"/>
        <w:ind w:left="720" w:hanging="720"/>
        <w:rPr>
          <w:sz w:val="20"/>
          <w:szCs w:val="20"/>
        </w:rPr>
      </w:pPr>
    </w:p>
    <w:p w:rsidR="008032F6" w:rsidRDefault="008032F6" w:rsidP="0028579D">
      <w:pPr>
        <w:pStyle w:val="BodyText"/>
        <w:ind w:left="720" w:hanging="720"/>
        <w:rPr>
          <w:sz w:val="20"/>
          <w:szCs w:val="20"/>
        </w:rPr>
      </w:pPr>
    </w:p>
    <w:sectPr w:rsidR="008032F6" w:rsidSect="006978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43416"/>
    <w:rsid w:val="0004791D"/>
    <w:rsid w:val="000643A5"/>
    <w:rsid w:val="0008154B"/>
    <w:rsid w:val="000A28B3"/>
    <w:rsid w:val="000B0FF6"/>
    <w:rsid w:val="000B4114"/>
    <w:rsid w:val="000C6759"/>
    <w:rsid w:val="000D6092"/>
    <w:rsid w:val="000E7B8D"/>
    <w:rsid w:val="001522F7"/>
    <w:rsid w:val="0018213F"/>
    <w:rsid w:val="001847C8"/>
    <w:rsid w:val="001940A8"/>
    <w:rsid w:val="001A3C61"/>
    <w:rsid w:val="001D57FF"/>
    <w:rsid w:val="001E36B6"/>
    <w:rsid w:val="001E7697"/>
    <w:rsid w:val="001E7737"/>
    <w:rsid w:val="001F4E78"/>
    <w:rsid w:val="002338BC"/>
    <w:rsid w:val="00250952"/>
    <w:rsid w:val="0025584F"/>
    <w:rsid w:val="00261D82"/>
    <w:rsid w:val="002750D6"/>
    <w:rsid w:val="00277138"/>
    <w:rsid w:val="0028579D"/>
    <w:rsid w:val="00290A53"/>
    <w:rsid w:val="002C14C5"/>
    <w:rsid w:val="002D1A03"/>
    <w:rsid w:val="00322A11"/>
    <w:rsid w:val="00335A26"/>
    <w:rsid w:val="0038210D"/>
    <w:rsid w:val="004018EF"/>
    <w:rsid w:val="00412147"/>
    <w:rsid w:val="00482B16"/>
    <w:rsid w:val="004E69CC"/>
    <w:rsid w:val="004E72F3"/>
    <w:rsid w:val="004F30A3"/>
    <w:rsid w:val="00534F36"/>
    <w:rsid w:val="00557F8D"/>
    <w:rsid w:val="005A03C6"/>
    <w:rsid w:val="005D7714"/>
    <w:rsid w:val="005E0E34"/>
    <w:rsid w:val="00632ED1"/>
    <w:rsid w:val="006453FD"/>
    <w:rsid w:val="00692640"/>
    <w:rsid w:val="00697842"/>
    <w:rsid w:val="006A0FEC"/>
    <w:rsid w:val="006A3540"/>
    <w:rsid w:val="006A50FD"/>
    <w:rsid w:val="006C2E25"/>
    <w:rsid w:val="006C5E2C"/>
    <w:rsid w:val="00722272"/>
    <w:rsid w:val="00742DD9"/>
    <w:rsid w:val="0074643D"/>
    <w:rsid w:val="007B6A7D"/>
    <w:rsid w:val="007F2960"/>
    <w:rsid w:val="007F628B"/>
    <w:rsid w:val="008032F6"/>
    <w:rsid w:val="0080623E"/>
    <w:rsid w:val="00810B72"/>
    <w:rsid w:val="00830C56"/>
    <w:rsid w:val="00852222"/>
    <w:rsid w:val="00873050"/>
    <w:rsid w:val="00873DDE"/>
    <w:rsid w:val="008B2D12"/>
    <w:rsid w:val="008C57F8"/>
    <w:rsid w:val="008C5C50"/>
    <w:rsid w:val="00915176"/>
    <w:rsid w:val="00961A47"/>
    <w:rsid w:val="00977DF0"/>
    <w:rsid w:val="00994368"/>
    <w:rsid w:val="00994E34"/>
    <w:rsid w:val="009A5D67"/>
    <w:rsid w:val="009C227D"/>
    <w:rsid w:val="009D2166"/>
    <w:rsid w:val="009E127C"/>
    <w:rsid w:val="009F2BB0"/>
    <w:rsid w:val="00A10C56"/>
    <w:rsid w:val="00A23D93"/>
    <w:rsid w:val="00A94446"/>
    <w:rsid w:val="00AD507B"/>
    <w:rsid w:val="00B04413"/>
    <w:rsid w:val="00B94BDB"/>
    <w:rsid w:val="00BC5CB4"/>
    <w:rsid w:val="00BF2DD1"/>
    <w:rsid w:val="00C1727C"/>
    <w:rsid w:val="00C2652B"/>
    <w:rsid w:val="00C734EA"/>
    <w:rsid w:val="00C81E1C"/>
    <w:rsid w:val="00CA6BF5"/>
    <w:rsid w:val="00CC1DB5"/>
    <w:rsid w:val="00CD336D"/>
    <w:rsid w:val="00CF156A"/>
    <w:rsid w:val="00D13FCD"/>
    <w:rsid w:val="00D43C11"/>
    <w:rsid w:val="00D43E74"/>
    <w:rsid w:val="00D538E6"/>
    <w:rsid w:val="00DC1C09"/>
    <w:rsid w:val="00DE748B"/>
    <w:rsid w:val="00DE7BCD"/>
    <w:rsid w:val="00E45616"/>
    <w:rsid w:val="00E94E70"/>
    <w:rsid w:val="00EC3460"/>
    <w:rsid w:val="00EF47C4"/>
    <w:rsid w:val="00F0247B"/>
    <w:rsid w:val="00F10E6B"/>
    <w:rsid w:val="00F32BC6"/>
    <w:rsid w:val="00F51222"/>
    <w:rsid w:val="00F73824"/>
    <w:rsid w:val="00FC372B"/>
    <w:rsid w:val="00FD6F13"/>
    <w:rsid w:val="00FE2374"/>
    <w:rsid w:val="00FF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78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97842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697842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697842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697842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697842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R. Jacob Baker</dc:creator>
  <cp:keywords/>
  <dc:description/>
  <cp:lastModifiedBy>R. Jacob Baker</cp:lastModifiedBy>
  <cp:revision>10</cp:revision>
  <cp:lastPrinted>2011-11-09T21:05:00Z</cp:lastPrinted>
  <dcterms:created xsi:type="dcterms:W3CDTF">2010-09-01T00:40:00Z</dcterms:created>
  <dcterms:modified xsi:type="dcterms:W3CDTF">2011-11-09T21:09:00Z</dcterms:modified>
</cp:coreProperties>
</file>